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695" w:rsidRDefault="00683695" w:rsidP="00683695">
      <w:pPr>
        <w:autoSpaceDE w:val="0"/>
        <w:autoSpaceDN w:val="0"/>
        <w:adjustRightInd w:val="0"/>
        <w:jc w:val="center"/>
        <w:rPr>
          <w:rFonts w:cs="TrebuchetMS-Bold"/>
          <w:b/>
          <w:bCs/>
          <w:color w:val="000000"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inline distT="0" distB="0" distL="0" distR="0" wp14:anchorId="7C5E8D75" wp14:editId="5265C141">
            <wp:extent cx="1343025" cy="1104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695" w:rsidRDefault="00683695" w:rsidP="00683695">
      <w:pPr>
        <w:autoSpaceDE w:val="0"/>
        <w:autoSpaceDN w:val="0"/>
        <w:adjustRightInd w:val="0"/>
        <w:rPr>
          <w:rFonts w:cs="TrebuchetMS-Bold"/>
          <w:b/>
          <w:bCs/>
          <w:color w:val="000000"/>
        </w:rPr>
      </w:pPr>
    </w:p>
    <w:p w:rsidR="00683695" w:rsidRPr="0007137E" w:rsidRDefault="00683695" w:rsidP="00683695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FOR IMMEDIATE RELEASE</w:t>
      </w:r>
    </w:p>
    <w:p w:rsidR="00683695" w:rsidRPr="0007137E" w:rsidRDefault="00683695" w:rsidP="00683695">
      <w:pPr>
        <w:rPr>
          <w:rFonts w:ascii="Calibri" w:eastAsia="Calibri" w:hAnsi="Calibri" w:cs="Times New Roman"/>
          <w:b/>
        </w:rPr>
      </w:pPr>
    </w:p>
    <w:p w:rsidR="00683695" w:rsidRPr="00773A08" w:rsidRDefault="00683695" w:rsidP="00683695">
      <w:pPr>
        <w:rPr>
          <w:rFonts w:ascii="Calibri" w:eastAsia="Calibri" w:hAnsi="Calibri" w:cs="Times New Roman"/>
          <w:b/>
          <w:sz w:val="20"/>
          <w:szCs w:val="20"/>
        </w:rPr>
      </w:pPr>
      <w:r w:rsidRPr="00773A08">
        <w:rPr>
          <w:rFonts w:ascii="Calibri" w:eastAsia="Calibri" w:hAnsi="Calibri" w:cs="Times New Roman"/>
          <w:b/>
          <w:sz w:val="20"/>
          <w:szCs w:val="20"/>
        </w:rPr>
        <w:t>Contact:</w:t>
      </w:r>
    </w:p>
    <w:p w:rsidR="00683695" w:rsidRPr="00773A08" w:rsidRDefault="00683695" w:rsidP="00683695">
      <w:pPr>
        <w:rPr>
          <w:rFonts w:ascii="Calibri" w:eastAsia="Calibri" w:hAnsi="Calibri" w:cs="Times New Roman"/>
          <w:sz w:val="20"/>
          <w:szCs w:val="20"/>
        </w:rPr>
      </w:pPr>
      <w:r w:rsidRPr="00773A08">
        <w:rPr>
          <w:rFonts w:ascii="Calibri" w:eastAsia="Calibri" w:hAnsi="Calibri" w:cs="Times New Roman"/>
          <w:sz w:val="20"/>
          <w:szCs w:val="20"/>
        </w:rPr>
        <w:t>Kimberly Quiros, 202-887-5700</w:t>
      </w:r>
    </w:p>
    <w:p w:rsidR="00683695" w:rsidRPr="00773A08" w:rsidRDefault="0059560C" w:rsidP="00683695">
      <w:pPr>
        <w:rPr>
          <w:rFonts w:ascii="Calibri" w:eastAsia="Calibri" w:hAnsi="Calibri" w:cs="Times New Roman"/>
          <w:sz w:val="20"/>
          <w:szCs w:val="20"/>
        </w:rPr>
      </w:pPr>
      <w:hyperlink r:id="rId6" w:history="1">
        <w:r w:rsidR="00683695" w:rsidRPr="00773A08">
          <w:rPr>
            <w:rFonts w:ascii="Calibri" w:eastAsia="Calibri" w:hAnsi="Calibri" w:cs="Times New Roman"/>
            <w:color w:val="0000FF"/>
            <w:sz w:val="20"/>
            <w:szCs w:val="20"/>
            <w:u w:val="single"/>
          </w:rPr>
          <w:t>kimberly@nvfc.org</w:t>
        </w:r>
      </w:hyperlink>
      <w:r w:rsidR="00683695" w:rsidRPr="00773A08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683695" w:rsidRDefault="00683695" w:rsidP="006F2171">
      <w:pPr>
        <w:rPr>
          <w:b/>
        </w:rPr>
      </w:pPr>
    </w:p>
    <w:p w:rsidR="006F2171" w:rsidRPr="00683695" w:rsidRDefault="006F2171" w:rsidP="00683695">
      <w:pPr>
        <w:jc w:val="center"/>
        <w:rPr>
          <w:b/>
          <w:sz w:val="24"/>
          <w:szCs w:val="24"/>
        </w:rPr>
      </w:pPr>
      <w:r w:rsidRPr="00683695">
        <w:rPr>
          <w:b/>
          <w:sz w:val="24"/>
          <w:szCs w:val="24"/>
        </w:rPr>
        <w:t>Application Period Now Open for 2015 Georgia-Pacific Bucket Brigade Grants</w:t>
      </w:r>
    </w:p>
    <w:p w:rsidR="006F2171" w:rsidRPr="00683695" w:rsidRDefault="006F2171" w:rsidP="00683695">
      <w:pPr>
        <w:jc w:val="center"/>
        <w:rPr>
          <w:i/>
          <w:sz w:val="24"/>
          <w:szCs w:val="24"/>
        </w:rPr>
      </w:pPr>
      <w:r w:rsidRPr="00683695">
        <w:rPr>
          <w:i/>
          <w:sz w:val="24"/>
          <w:szCs w:val="24"/>
        </w:rPr>
        <w:t>Program has awarded $1.5 million in assistance to local departments since 2006</w:t>
      </w:r>
    </w:p>
    <w:p w:rsidR="006F2171" w:rsidRDefault="006F2171" w:rsidP="006F2171"/>
    <w:p w:rsidR="006F2171" w:rsidRDefault="006F2171" w:rsidP="006F2171">
      <w:r w:rsidRPr="006F2171">
        <w:t>The application period is now open for the 201</w:t>
      </w:r>
      <w:r>
        <w:t>5</w:t>
      </w:r>
      <w:r w:rsidRPr="006F2171">
        <w:t xml:space="preserve"> </w:t>
      </w:r>
      <w:hyperlink r:id="rId7" w:history="1">
        <w:r w:rsidRPr="00EB6F6C">
          <w:rPr>
            <w:rStyle w:val="Hyperlink"/>
          </w:rPr>
          <w:t>Georgia-Pacific Bucket Brigade™ grant program</w:t>
        </w:r>
      </w:hyperlink>
      <w:r w:rsidRPr="006F2171">
        <w:t xml:space="preserve">. These grants provide support to fire departments that serve communities </w:t>
      </w:r>
      <w:r>
        <w:t>located within 30 miles of a Georgia-Pacific f</w:t>
      </w:r>
      <w:r w:rsidRPr="006F2171">
        <w:t>acility. It is the company’s way of giving back to the departments that keep their families, homes, and workplaces safe.</w:t>
      </w:r>
    </w:p>
    <w:p w:rsidR="006F2171" w:rsidRPr="006F2171" w:rsidRDefault="006F2171" w:rsidP="006F2171"/>
    <w:p w:rsidR="006F2171" w:rsidRDefault="006F2171" w:rsidP="006F2171">
      <w:r w:rsidRPr="006F2171">
        <w:t xml:space="preserve">About 70 percent of our nation’s firefighters are volunteers, who selflessly give of themselves to keep the people and property in their communities safe. However, many departments </w:t>
      </w:r>
      <w:r>
        <w:t xml:space="preserve">struggle </w:t>
      </w:r>
      <w:r w:rsidRPr="006F2171">
        <w:t>to provide the necessary resources for these responders to perform their duties. The Georgia-Pacific Bucket Brigade program helps provide local fire departments with the necessities they need to protect and educate their communities.</w:t>
      </w:r>
    </w:p>
    <w:p w:rsidR="006F2171" w:rsidRPr="006F2171" w:rsidRDefault="006F2171" w:rsidP="006F2171"/>
    <w:p w:rsidR="006F2171" w:rsidRDefault="006F2171" w:rsidP="006F2171">
      <w:r w:rsidRPr="006F2171">
        <w:t>Since 2006, Georgia-Pa</w:t>
      </w:r>
      <w:r>
        <w:t xml:space="preserve">cific has awarded </w:t>
      </w:r>
      <w:r w:rsidR="007150E6">
        <w:t>over</w:t>
      </w:r>
      <w:r>
        <w:t xml:space="preserve"> $1.</w:t>
      </w:r>
      <w:r w:rsidRPr="006F2171">
        <w:t>5 million to</w:t>
      </w:r>
      <w:r>
        <w:t xml:space="preserve"> </w:t>
      </w:r>
      <w:r w:rsidR="00764698">
        <w:t xml:space="preserve">more than </w:t>
      </w:r>
      <w:r>
        <w:t>2</w:t>
      </w:r>
      <w:r w:rsidR="00764698">
        <w:t>0</w:t>
      </w:r>
      <w:r>
        <w:t>0 local</w:t>
      </w:r>
      <w:r w:rsidRPr="006F2171">
        <w:t> fire departments</w:t>
      </w:r>
      <w:r w:rsidR="00764698">
        <w:t xml:space="preserve"> in its facility communities</w:t>
      </w:r>
      <w:r w:rsidRPr="006F2171">
        <w:t>. These grants help departments fund equipment, resources, and programming. In addition, Georgia-Pacific provides safety education materials to departments to use in local schools.</w:t>
      </w:r>
    </w:p>
    <w:p w:rsidR="006F2171" w:rsidRPr="006F2171" w:rsidRDefault="006F2171" w:rsidP="006F2171"/>
    <w:p w:rsidR="006F2171" w:rsidRDefault="006F2171" w:rsidP="006F2171">
      <w:r w:rsidRPr="006F2171">
        <w:t xml:space="preserve">To be eligible for a grant, departments must be located within 30 miles of a </w:t>
      </w:r>
      <w:hyperlink r:id="rId8" w:history="1">
        <w:r w:rsidRPr="00EB6F6C">
          <w:rPr>
            <w:rStyle w:val="Hyperlink"/>
          </w:rPr>
          <w:t>Georgia-Pacific facility</w:t>
        </w:r>
      </w:hyperlink>
      <w:r w:rsidRPr="006F2171">
        <w:t xml:space="preserve">. The grants awarded </w:t>
      </w:r>
      <w:r>
        <w:t xml:space="preserve">typically </w:t>
      </w:r>
      <w:r w:rsidRPr="006F2171">
        <w:t xml:space="preserve">range between $2,500-$10,000 and can be used to fund a variety of necessities, including turnout gear, breathing apparatus, water pumps, hoses and nozzles, and more. In addition, all applicants will receive a complimentary one-year </w:t>
      </w:r>
      <w:hyperlink r:id="rId9" w:history="1">
        <w:r w:rsidRPr="00345705">
          <w:rPr>
            <w:rStyle w:val="Hyperlink"/>
          </w:rPr>
          <w:t>NVFC Department Membership</w:t>
        </w:r>
      </w:hyperlink>
      <w:r w:rsidRPr="006F2171">
        <w:t>, courtesy of Georgia-Pacific.</w:t>
      </w:r>
    </w:p>
    <w:p w:rsidR="006F2171" w:rsidRPr="006F2171" w:rsidRDefault="006F2171" w:rsidP="006F2171"/>
    <w:p w:rsidR="006F2171" w:rsidRDefault="006F2171" w:rsidP="006F2171">
      <w:r w:rsidRPr="006F2171">
        <w:t xml:space="preserve">Visit </w:t>
      </w:r>
      <w:hyperlink r:id="rId10" w:tgtFrame="_blank" w:history="1">
        <w:r w:rsidRPr="006F2171">
          <w:rPr>
            <w:rStyle w:val="Hyperlink"/>
          </w:rPr>
          <w:t>www.gpbucketbrigade.com</w:t>
        </w:r>
      </w:hyperlink>
      <w:r w:rsidRPr="006F2171">
        <w:t xml:space="preserve"> to learn more about the program, download the application, and view a list of Georgia-Pacific facility locations. Completed applications must be submitted to your local Georgia-Pacific facility for approval. Approved applications are due to Georgia-Pacific headquarters by July 1</w:t>
      </w:r>
      <w:r>
        <w:t>0</w:t>
      </w:r>
      <w:r w:rsidRPr="006F2171">
        <w:t>.</w:t>
      </w:r>
    </w:p>
    <w:p w:rsidR="00683695" w:rsidRDefault="00683695" w:rsidP="006F2171"/>
    <w:p w:rsidR="00683695" w:rsidRDefault="00683695" w:rsidP="00683695">
      <w:pPr>
        <w:jc w:val="center"/>
      </w:pPr>
      <w:r>
        <w:t>###</w:t>
      </w:r>
    </w:p>
    <w:p w:rsidR="006F2171" w:rsidRDefault="006F2171" w:rsidP="006F2171"/>
    <w:p w:rsidR="002D785C" w:rsidRPr="00EB6F6C" w:rsidRDefault="006F2171">
      <w:pPr>
        <w:rPr>
          <w:sz w:val="20"/>
          <w:szCs w:val="20"/>
        </w:rPr>
      </w:pPr>
      <w:r w:rsidRPr="00EB6F6C">
        <w:rPr>
          <w:b/>
          <w:sz w:val="20"/>
          <w:szCs w:val="20"/>
        </w:rPr>
        <w:t>About Georgia-Pacific</w:t>
      </w:r>
      <w:r w:rsidRPr="00EB6F6C">
        <w:rPr>
          <w:sz w:val="20"/>
          <w:szCs w:val="20"/>
        </w:rPr>
        <w:br/>
      </w:r>
      <w:r w:rsidR="00764698" w:rsidRPr="00AD51B9">
        <w:rPr>
          <w:rFonts w:cstheme="minorHAnsi"/>
          <w:bCs/>
          <w:sz w:val="20"/>
          <w:szCs w:val="20"/>
        </w:rPr>
        <w:t xml:space="preserve">Based in Atlanta, Georgia-Pacific and its subsidiaries are among the world’s leading manufacturers and marketers of bath tissue, paper towels and napkins, tableware, paper-based packaging, office papers, cellulose, specialty fibers, nonwoven fabrics, building products and related chemicals. The company employs approximately 35,000 people directly, and creates nearly 130,000 jobs indirectly. </w:t>
      </w:r>
      <w:r w:rsidR="00764698" w:rsidRPr="00AD51B9">
        <w:rPr>
          <w:rFonts w:cstheme="minorHAnsi"/>
          <w:sz w:val="20"/>
          <w:szCs w:val="20"/>
        </w:rPr>
        <w:t>Founded in 1958, the Georgia-Pacific Foundation has four key investment areas: education, community enrichment, environment and entrepreneurship</w:t>
      </w:r>
      <w:r w:rsidR="00764698" w:rsidRPr="00AD51B9">
        <w:rPr>
          <w:rFonts w:cstheme="minorHAnsi"/>
          <w:color w:val="0000FF"/>
          <w:sz w:val="20"/>
          <w:szCs w:val="20"/>
        </w:rPr>
        <w:t xml:space="preserve">. </w:t>
      </w:r>
      <w:r w:rsidR="00764698" w:rsidRPr="00AD51B9">
        <w:rPr>
          <w:rFonts w:cstheme="minorHAnsi"/>
          <w:sz w:val="20"/>
          <w:szCs w:val="20"/>
        </w:rPr>
        <w:t xml:space="preserve">For more information on the Georgia-Pacific Foundation, visit </w:t>
      </w:r>
      <w:hyperlink r:id="rId11" w:history="1">
        <w:r w:rsidR="00764698" w:rsidRPr="00AD51B9">
          <w:rPr>
            <w:rStyle w:val="Hyperlink"/>
            <w:rFonts w:cstheme="minorHAnsi"/>
            <w:sz w:val="20"/>
            <w:szCs w:val="20"/>
          </w:rPr>
          <w:t>www.gp.com/gpfoundation</w:t>
        </w:r>
      </w:hyperlink>
      <w:r w:rsidR="00764698" w:rsidRPr="00AD51B9">
        <w:rPr>
          <w:rFonts w:cstheme="minorHAnsi"/>
          <w:sz w:val="20"/>
          <w:szCs w:val="20"/>
        </w:rPr>
        <w:t>.</w:t>
      </w:r>
    </w:p>
    <w:sectPr w:rsidR="002D785C" w:rsidRPr="00EB6F6C" w:rsidSect="00683695">
      <w:pgSz w:w="12240" w:h="15840"/>
      <w:pgMar w:top="720" w:right="1440" w:bottom="8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71"/>
    <w:rsid w:val="002D785C"/>
    <w:rsid w:val="00345705"/>
    <w:rsid w:val="0059560C"/>
    <w:rsid w:val="00683695"/>
    <w:rsid w:val="006F2171"/>
    <w:rsid w:val="007150E6"/>
    <w:rsid w:val="00764698"/>
    <w:rsid w:val="008A55D7"/>
    <w:rsid w:val="00AD51B9"/>
    <w:rsid w:val="00EB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E0F5FE-D784-440C-A08F-7990122F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1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227583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34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6" w:space="0" w:color="CCCCCC"/>
                        <w:bottom w:val="single" w:sz="6" w:space="19" w:color="CCCCCC"/>
                        <w:right w:val="single" w:sz="6" w:space="0" w:color="CCCCCC"/>
                      </w:divBdr>
                      <w:divsChild>
                        <w:div w:id="184844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17786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1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.com/GPCOM/Company/Company-Overview/Location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pbucketbrigad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imberly@nvfc.org" TargetMode="External"/><Relationship Id="rId11" Type="http://schemas.openxmlformats.org/officeDocument/2006/relationships/hyperlink" Target="http://www.gp.com/gpfoundation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gpbucketbrigad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vfc.org/BeYourB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1BA20-2488-4826-AEE4-BAB925ECE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Georgia-Pacific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Quiros</dc:creator>
  <cp:lastModifiedBy>Daniel Neenan</cp:lastModifiedBy>
  <cp:revision>2</cp:revision>
  <dcterms:created xsi:type="dcterms:W3CDTF">2015-07-06T20:01:00Z</dcterms:created>
  <dcterms:modified xsi:type="dcterms:W3CDTF">2015-07-06T20:01:00Z</dcterms:modified>
</cp:coreProperties>
</file>